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4" w:rsidRDefault="00332645" w:rsidP="00020F04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noProof/>
          <w:lang w:eastAsia="ru-RU"/>
        </w:rPr>
        <w:drawing>
          <wp:inline distT="0" distB="0" distL="0" distR="0">
            <wp:extent cx="9442450" cy="6120130"/>
            <wp:effectExtent l="19050" t="0" r="6350" b="0"/>
            <wp:docPr id="1" name="Рисунок 0" descr="6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04" w:rsidRDefault="00020F04" w:rsidP="00020F04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020F04" w:rsidRDefault="00020F04" w:rsidP="00020F04">
      <w:pPr>
        <w:rPr>
          <w:sz w:val="2"/>
          <w:szCs w:val="2"/>
        </w:rPr>
      </w:pPr>
    </w:p>
    <w:tbl>
      <w:tblPr>
        <w:tblStyle w:val="a9"/>
        <w:tblW w:w="14850" w:type="dxa"/>
        <w:tblInd w:w="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подразделения 1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 подразделения;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020F04" w:rsidRDefault="00020F0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руководителя подразделения;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консультант-юрист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Несоставление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проведения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проведении независимой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экспертизы;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 w:rsidP="00E135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факторы, на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экспертизу.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государственной власти (органа местного самоуправления)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  <w:proofErr w:type="gramEnd"/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анализ материалов судебных дел 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органа государственной власти (органа местного самоуправления);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нарушение законодательства в пределах полномочий органа государственной власти (органа местного самоуправления)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pStyle w:val="a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административного производства, в интересах правонарушителя.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-порядка соблюдения требований о предотвращении или об урегулировании конфликта интересов, обязанности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 подразделения 2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1"/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 рамках полномочий органа государственной власти (органа местного самоуправления)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подразделения 3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Реализация мероприятий государственной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программы (областной целевой программы)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cs="Times New Roman"/>
                <w:sz w:val="24"/>
                <w:szCs w:val="24"/>
                <w:lang w:eastAsia="ru-RU"/>
              </w:rPr>
              <w:t>, по которой орган государственной власти (орган местного самоуправления)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Подготовка документации для проведения конкурсных процедур, правовых актов 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коррупционно-опасной функции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подписание заявления об отсутствии конфликта интересов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орган государственной власти (орган местного самоуправления) полномочий.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20F04" w:rsidTr="00020F04">
        <w:trPr>
          <w:trHeight w:val="2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государственной власти (органу местного самоуправления) организаций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государственных (муниципальных) учреждений.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с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нарушением установленного порядка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решений представителей иных структурных подразделений органа государственной власти (органа местного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самоуправления);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 подразделения 4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 необоснованно завышена (занижена) начальная (максимальная) цена контракта.</w:t>
            </w:r>
            <w:proofErr w:type="gramEnd"/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государственных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В целях подписания акта приемки представителем исполнителя по государственному (муниципальному) контракту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целях заключения государственного (муниципального)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оговора) не отражать 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20F04" w:rsidTr="00020F04">
        <w:trPr>
          <w:trHeight w:val="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rPr>
          <w:trHeight w:val="22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некорректной информации о закупке, подмена разъяснений ссылками на документацию о закупке.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сроков совершения действий служащим при осуществлении коррупционно-опасной функции.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обмена информацией).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подразделения 5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государственную (муниципальную) казну, в аренду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конкурсов на замещение вакантной должности, на включение в кадровый резерв на замещение вакантной должности государственной гражданской (муниципальной) службы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на замещение вакантной должности государственной гражданской (муниципальной)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Единоличное подписание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принимаемых решений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структурных подразделений, курирующих соответствующее направление.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020F04" w:rsidRDefault="00020F04" w:rsidP="00020F04">
      <w:pPr>
        <w:rPr>
          <w:rFonts w:cs="Times New Roman"/>
        </w:rPr>
      </w:pPr>
    </w:p>
    <w:p w:rsidR="00EC0E45" w:rsidRDefault="00EC0E45"/>
    <w:sectPr w:rsidR="00EC0E45" w:rsidSect="00E135FD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E5" w:rsidRDefault="00B71DE5" w:rsidP="00020F04">
      <w:r>
        <w:separator/>
      </w:r>
    </w:p>
  </w:endnote>
  <w:endnote w:type="continuationSeparator" w:id="0">
    <w:p w:rsidR="00B71DE5" w:rsidRDefault="00B71DE5" w:rsidP="0002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E5" w:rsidRDefault="00B71DE5" w:rsidP="00020F04">
      <w:r>
        <w:separator/>
      </w:r>
    </w:p>
  </w:footnote>
  <w:footnote w:type="continuationSeparator" w:id="0">
    <w:p w:rsidR="00B71DE5" w:rsidRDefault="00B71DE5" w:rsidP="00020F04">
      <w:r>
        <w:continuationSeparator/>
      </w:r>
    </w:p>
  </w:footnote>
  <w:footnote w:id="1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Указывается наименование конкретной </w:t>
      </w:r>
      <w:r>
        <w:rPr>
          <w:rFonts w:cs="Times New Roman"/>
          <w:lang w:eastAsia="ru-RU"/>
        </w:rPr>
        <w:t>функций контроля (надзора) в рамках полномочий органа государственной власти (органа местного самоуправления)</w:t>
      </w:r>
      <w:r>
        <w:t>.</w:t>
      </w:r>
    </w:p>
  </w:footnote>
  <w:footnote w:id="2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Указывается наименование конкретной </w:t>
      </w:r>
      <w:r>
        <w:rPr>
          <w:rFonts w:cs="Times New Roman"/>
          <w:lang w:eastAsia="ru-RU"/>
        </w:rPr>
        <w:t>государственной программы (областной целевой программы), по которой орган государственной власти (орган местного самоуправления) является ответственным исполнителем (соисполнителем)</w:t>
      </w:r>
      <w:r>
        <w:t>.</w:t>
      </w:r>
    </w:p>
  </w:footnote>
  <w:footnote w:id="3">
    <w:p w:rsidR="00020F04" w:rsidRDefault="00020F04" w:rsidP="00020F04">
      <w:pPr>
        <w:pStyle w:val="a5"/>
      </w:pPr>
      <w:r>
        <w:rPr>
          <w:rStyle w:val="a8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E3"/>
    <w:rsid w:val="00020F04"/>
    <w:rsid w:val="00115263"/>
    <w:rsid w:val="00332645"/>
    <w:rsid w:val="0054268F"/>
    <w:rsid w:val="00863C85"/>
    <w:rsid w:val="00B71DE5"/>
    <w:rsid w:val="00C758DD"/>
    <w:rsid w:val="00CD1C7B"/>
    <w:rsid w:val="00D713F7"/>
    <w:rsid w:val="00E135FD"/>
    <w:rsid w:val="00EC06D7"/>
    <w:rsid w:val="00EC0E45"/>
    <w:rsid w:val="00F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4"/>
    <w:pPr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0F0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20F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F04"/>
    <w:rPr>
      <w:rFonts w:ascii="Times New Roman" w:eastAsia="Times New Roman" w:hAnsi="Times New Roman" w:cs="Calibri"/>
    </w:rPr>
  </w:style>
  <w:style w:type="paragraph" w:styleId="a7">
    <w:name w:val="No Spacing"/>
    <w:uiPriority w:val="1"/>
    <w:qFormat/>
    <w:rsid w:val="00020F04"/>
    <w:rPr>
      <w:sz w:val="22"/>
      <w:szCs w:val="22"/>
    </w:rPr>
  </w:style>
  <w:style w:type="paragraph" w:customStyle="1" w:styleId="1">
    <w:name w:val="_Заголовок1"/>
    <w:basedOn w:val="a"/>
    <w:qFormat/>
    <w:rsid w:val="00020F04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20F04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20F0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20F0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footnote reference"/>
    <w:basedOn w:val="a0"/>
    <w:uiPriority w:val="99"/>
    <w:semiHidden/>
    <w:unhideWhenUsed/>
    <w:rsid w:val="00020F04"/>
    <w:rPr>
      <w:vertAlign w:val="superscript"/>
    </w:rPr>
  </w:style>
  <w:style w:type="table" w:styleId="a9">
    <w:name w:val="Table Grid"/>
    <w:basedOn w:val="a1"/>
    <w:uiPriority w:val="59"/>
    <w:rsid w:val="00020F04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2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4"/>
    <w:pPr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0F0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20F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F04"/>
    <w:rPr>
      <w:rFonts w:ascii="Times New Roman" w:eastAsia="Times New Roman" w:hAnsi="Times New Roman" w:cs="Calibri"/>
    </w:rPr>
  </w:style>
  <w:style w:type="paragraph" w:styleId="a7">
    <w:name w:val="No Spacing"/>
    <w:uiPriority w:val="1"/>
    <w:qFormat/>
    <w:rsid w:val="00020F04"/>
    <w:rPr>
      <w:sz w:val="22"/>
      <w:szCs w:val="22"/>
    </w:rPr>
  </w:style>
  <w:style w:type="paragraph" w:customStyle="1" w:styleId="1">
    <w:name w:val="_Заголовок1"/>
    <w:basedOn w:val="a"/>
    <w:qFormat/>
    <w:rsid w:val="00020F04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20F04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20F0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20F0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footnote reference"/>
    <w:basedOn w:val="a0"/>
    <w:uiPriority w:val="99"/>
    <w:semiHidden/>
    <w:unhideWhenUsed/>
    <w:rsid w:val="00020F04"/>
    <w:rPr>
      <w:vertAlign w:val="superscript"/>
    </w:rPr>
  </w:style>
  <w:style w:type="table" w:styleId="a9">
    <w:name w:val="Table Grid"/>
    <w:basedOn w:val="a1"/>
    <w:uiPriority w:val="59"/>
    <w:rsid w:val="00020F04"/>
    <w:rPr>
      <w:rFonts w:eastAsia="Times New Roman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3016</Words>
  <Characters>17195</Characters>
  <Application>Microsoft Office Word</Application>
  <DocSecurity>0</DocSecurity>
  <Lines>143</Lines>
  <Paragraphs>40</Paragraphs>
  <ScaleCrop>false</ScaleCrop>
  <Company>Microsoft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3</cp:revision>
  <cp:lastPrinted>2022-03-16T14:31:00Z</cp:lastPrinted>
  <dcterms:created xsi:type="dcterms:W3CDTF">2022-03-16T14:30:00Z</dcterms:created>
  <dcterms:modified xsi:type="dcterms:W3CDTF">2022-03-16T14:33:00Z</dcterms:modified>
</cp:coreProperties>
</file>